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230" w:rsidRPr="00FD2B02" w:rsidRDefault="00AC63F5" w:rsidP="00FD2B02">
      <w:pPr>
        <w:spacing w:after="0" w:line="240" w:lineRule="auto"/>
        <w:ind w:right="-450"/>
        <w:rPr>
          <w:rFonts w:ascii="Lucida Sans Unicode" w:eastAsia="Malgun Gothic" w:hAnsi="Lucida Sans Unicode" w:cs="Lucida Sans Unicode"/>
          <w:b/>
          <w:bCs/>
          <w:iCs/>
          <w:color w:val="688220"/>
          <w:sz w:val="32"/>
          <w:szCs w:val="32"/>
        </w:rPr>
      </w:pPr>
      <w:bookmarkStart w:id="0" w:name="_GoBack"/>
      <w:bookmarkEnd w:id="0"/>
      <w:r w:rsidRPr="00AC63F5">
        <w:rPr>
          <w:rFonts w:ascii="Lucida Sans Unicode" w:eastAsia="Malgun Gothic" w:hAnsi="Lucida Sans Unicode" w:cs="Lucida Sans Unicode"/>
          <w:b/>
          <w:bCs/>
          <w:iCs/>
          <w:noProof/>
          <w:color w:val="688220"/>
          <w:sz w:val="32"/>
          <w:szCs w:val="32"/>
        </w:rPr>
        <w:drawing>
          <wp:anchor distT="0" distB="0" distL="114300" distR="114300" simplePos="0" relativeHeight="251659264" behindDoc="0" locked="0" layoutInCell="1" allowOverlap="1">
            <wp:simplePos x="0" y="0"/>
            <wp:positionH relativeFrom="column">
              <wp:posOffset>-342900</wp:posOffset>
            </wp:positionH>
            <wp:positionV relativeFrom="paragraph">
              <wp:posOffset>-457200</wp:posOffset>
            </wp:positionV>
            <wp:extent cx="1045845" cy="1047750"/>
            <wp:effectExtent l="19050" t="0" r="1905" b="0"/>
            <wp:wrapSquare wrapText="bothSides"/>
            <wp:docPr id="4" name="Picture 1" descr="CIMM_Large_RG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M_Large_RGB (2).PNG"/>
                    <pic:cNvPicPr/>
                  </pic:nvPicPr>
                  <pic:blipFill>
                    <a:blip r:embed="rId7" cstate="print"/>
                    <a:stretch>
                      <a:fillRect/>
                    </a:stretch>
                  </pic:blipFill>
                  <pic:spPr>
                    <a:xfrm>
                      <a:off x="0" y="0"/>
                      <a:ext cx="1045845" cy="1047750"/>
                    </a:xfrm>
                    <a:prstGeom prst="rect">
                      <a:avLst/>
                    </a:prstGeom>
                  </pic:spPr>
                </pic:pic>
              </a:graphicData>
            </a:graphic>
          </wp:anchor>
        </w:drawing>
      </w:r>
    </w:p>
    <w:p w:rsidR="00FD2B02" w:rsidRPr="00FD2B02" w:rsidRDefault="001B76BA" w:rsidP="001B76BA">
      <w:pPr>
        <w:ind w:right="-450"/>
        <w:jc w:val="center"/>
        <w:rPr>
          <w:rFonts w:ascii="Lucida Sans Unicode" w:eastAsia="Malgun Gothic" w:hAnsi="Lucida Sans Unicode" w:cs="Lucida Sans Unicode"/>
          <w:b/>
          <w:bCs/>
          <w:iCs/>
          <w:color w:val="688220"/>
        </w:rPr>
      </w:pPr>
      <w:r>
        <w:rPr>
          <w:rFonts w:ascii="Lucida Sans Unicode" w:eastAsia="Malgun Gothic" w:hAnsi="Lucida Sans Unicode" w:cs="Lucida Sans Unicode"/>
          <w:b/>
          <w:bCs/>
          <w:iCs/>
          <w:color w:val="688220"/>
          <w:sz w:val="32"/>
          <w:szCs w:val="32"/>
        </w:rPr>
        <w:t>CIMM’s</w:t>
      </w:r>
      <w:r w:rsidR="000A1A46" w:rsidRPr="00FD2B02">
        <w:rPr>
          <w:rFonts w:ascii="Lucida Sans Unicode" w:eastAsia="Malgun Gothic" w:hAnsi="Lucida Sans Unicode" w:cs="Lucida Sans Unicode"/>
          <w:b/>
          <w:bCs/>
          <w:iCs/>
          <w:color w:val="688220"/>
          <w:sz w:val="32"/>
          <w:szCs w:val="32"/>
        </w:rPr>
        <w:t xml:space="preserve"> S</w:t>
      </w:r>
      <w:r>
        <w:rPr>
          <w:rFonts w:ascii="Lucida Sans Unicode" w:eastAsia="Malgun Gothic" w:hAnsi="Lucida Sans Unicode" w:cs="Lucida Sans Unicode"/>
          <w:b/>
          <w:bCs/>
          <w:iCs/>
          <w:color w:val="688220"/>
          <w:sz w:val="32"/>
          <w:szCs w:val="32"/>
        </w:rPr>
        <w:t>even</w:t>
      </w:r>
      <w:r w:rsidR="000A1A46" w:rsidRPr="00FD2B02">
        <w:rPr>
          <w:rFonts w:ascii="Lucida Sans Unicode" w:eastAsia="Malgun Gothic" w:hAnsi="Lucida Sans Unicode" w:cs="Lucida Sans Unicode"/>
          <w:b/>
          <w:bCs/>
          <w:iCs/>
          <w:color w:val="688220"/>
          <w:sz w:val="32"/>
          <w:szCs w:val="32"/>
        </w:rPr>
        <w:t xml:space="preserve"> Criteria for Solving Cross-Platform Measurement</w:t>
      </w:r>
      <w:r>
        <w:rPr>
          <w:rFonts w:ascii="Lucida Sans Unicode" w:eastAsia="Malgun Gothic" w:hAnsi="Lucida Sans Unicode" w:cs="Lucida Sans Unicode"/>
          <w:b/>
          <w:bCs/>
          <w:iCs/>
          <w:color w:val="688220"/>
          <w:sz w:val="32"/>
          <w:szCs w:val="32"/>
        </w:rPr>
        <w:t xml:space="preserve"> of Exposure to Ads and Content</w:t>
      </w:r>
    </w:p>
    <w:p w:rsidR="00D84C18" w:rsidRDefault="00D84C18" w:rsidP="00D84C18">
      <w:pPr>
        <w:pStyle w:val="BodyText"/>
        <w:tabs>
          <w:tab w:val="num" w:pos="1440"/>
        </w:tabs>
        <w:spacing w:after="0"/>
        <w:ind w:left="270"/>
        <w:rPr>
          <w:rFonts w:asciiTheme="minorHAnsi" w:hAnsiTheme="minorHAnsi" w:cstheme="minorHAnsi"/>
          <w:b/>
          <w:szCs w:val="24"/>
        </w:rPr>
      </w:pPr>
    </w:p>
    <w:p w:rsidR="000A1A46" w:rsidRDefault="00047643" w:rsidP="000A1A46">
      <w:pPr>
        <w:pStyle w:val="BodyText"/>
        <w:numPr>
          <w:ilvl w:val="1"/>
          <w:numId w:val="3"/>
        </w:numPr>
        <w:tabs>
          <w:tab w:val="num" w:pos="630"/>
        </w:tabs>
        <w:spacing w:after="0"/>
        <w:ind w:left="270" w:hanging="270"/>
        <w:rPr>
          <w:rFonts w:asciiTheme="minorHAnsi" w:hAnsiTheme="minorHAnsi" w:cstheme="minorHAnsi"/>
          <w:b/>
          <w:szCs w:val="24"/>
        </w:rPr>
      </w:pPr>
      <w:r>
        <w:rPr>
          <w:rFonts w:asciiTheme="minorHAnsi" w:hAnsiTheme="minorHAnsi" w:cstheme="minorHAnsi"/>
          <w:b/>
          <w:szCs w:val="24"/>
        </w:rPr>
        <w:t>Panels Alone are Too Small</w:t>
      </w:r>
      <w:r w:rsidR="000A1A46">
        <w:rPr>
          <w:rFonts w:asciiTheme="minorHAnsi" w:hAnsiTheme="minorHAnsi" w:cstheme="minorHAnsi"/>
          <w:b/>
          <w:szCs w:val="24"/>
        </w:rPr>
        <w:t xml:space="preserve"> </w:t>
      </w:r>
    </w:p>
    <w:p w:rsidR="000A1A46" w:rsidRDefault="001B76BA" w:rsidP="000A1A46">
      <w:pPr>
        <w:pStyle w:val="BodyText"/>
        <w:spacing w:after="0"/>
        <w:ind w:left="270"/>
        <w:rPr>
          <w:rFonts w:asciiTheme="minorHAnsi" w:hAnsiTheme="minorHAnsi" w:cstheme="minorHAnsi"/>
          <w:i/>
          <w:szCs w:val="24"/>
        </w:rPr>
      </w:pPr>
      <w:r>
        <w:rPr>
          <w:rFonts w:asciiTheme="minorHAnsi" w:hAnsiTheme="minorHAnsi" w:cstheme="minorHAnsi"/>
          <w:i/>
          <w:szCs w:val="24"/>
        </w:rPr>
        <w:t>“Single Source” cross-media</w:t>
      </w:r>
      <w:r w:rsidR="000A1A46">
        <w:rPr>
          <w:rFonts w:asciiTheme="minorHAnsi" w:hAnsiTheme="minorHAnsi" w:cstheme="minorHAnsi"/>
          <w:i/>
          <w:szCs w:val="24"/>
        </w:rPr>
        <w:t xml:space="preserve"> </w:t>
      </w:r>
      <w:r>
        <w:rPr>
          <w:rFonts w:asciiTheme="minorHAnsi" w:hAnsiTheme="minorHAnsi" w:cstheme="minorHAnsi"/>
          <w:i/>
          <w:szCs w:val="24"/>
        </w:rPr>
        <w:t xml:space="preserve">audience measurement </w:t>
      </w:r>
      <w:r w:rsidR="000A1A46">
        <w:rPr>
          <w:rFonts w:asciiTheme="minorHAnsi" w:hAnsiTheme="minorHAnsi" w:cstheme="minorHAnsi"/>
          <w:i/>
          <w:szCs w:val="24"/>
        </w:rPr>
        <w:t xml:space="preserve">panels </w:t>
      </w:r>
      <w:r>
        <w:rPr>
          <w:rFonts w:asciiTheme="minorHAnsi" w:hAnsiTheme="minorHAnsi" w:cstheme="minorHAnsi"/>
          <w:i/>
          <w:szCs w:val="24"/>
        </w:rPr>
        <w:t>ar</w:t>
      </w:r>
      <w:r w:rsidR="000A1A46">
        <w:rPr>
          <w:rFonts w:asciiTheme="minorHAnsi" w:hAnsiTheme="minorHAnsi" w:cstheme="minorHAnsi"/>
          <w:i/>
          <w:szCs w:val="24"/>
        </w:rPr>
        <w:t xml:space="preserve">e too small </w:t>
      </w:r>
      <w:r>
        <w:rPr>
          <w:rFonts w:asciiTheme="minorHAnsi" w:hAnsiTheme="minorHAnsi" w:cstheme="minorHAnsi"/>
          <w:i/>
          <w:szCs w:val="24"/>
        </w:rPr>
        <w:t xml:space="preserve">by themselves </w:t>
      </w:r>
      <w:r w:rsidR="000A1A46">
        <w:rPr>
          <w:rFonts w:asciiTheme="minorHAnsi" w:hAnsiTheme="minorHAnsi" w:cstheme="minorHAnsi"/>
          <w:i/>
          <w:szCs w:val="24"/>
        </w:rPr>
        <w:t>to capture fragmented media beh</w:t>
      </w:r>
      <w:r>
        <w:rPr>
          <w:rFonts w:asciiTheme="minorHAnsi" w:hAnsiTheme="minorHAnsi" w:cstheme="minorHAnsi"/>
          <w:i/>
          <w:szCs w:val="24"/>
        </w:rPr>
        <w:t xml:space="preserve">avior </w:t>
      </w:r>
      <w:r w:rsidR="0050324E">
        <w:rPr>
          <w:rFonts w:asciiTheme="minorHAnsi" w:hAnsiTheme="minorHAnsi" w:cstheme="minorHAnsi"/>
          <w:i/>
          <w:szCs w:val="24"/>
        </w:rPr>
        <w:t xml:space="preserve">across multiple devices, but can be </w:t>
      </w:r>
      <w:r w:rsidR="000A1A46">
        <w:rPr>
          <w:rFonts w:asciiTheme="minorHAnsi" w:hAnsiTheme="minorHAnsi" w:cstheme="minorHAnsi"/>
          <w:i/>
          <w:szCs w:val="24"/>
        </w:rPr>
        <w:t>useful to calibrate census-like data by p</w:t>
      </w:r>
      <w:r>
        <w:rPr>
          <w:rFonts w:asciiTheme="minorHAnsi" w:hAnsiTheme="minorHAnsi" w:cstheme="minorHAnsi"/>
          <w:i/>
          <w:szCs w:val="24"/>
        </w:rPr>
        <w:t xml:space="preserve">roviding estimates of </w:t>
      </w:r>
      <w:r w:rsidR="000A1A46">
        <w:rPr>
          <w:rFonts w:asciiTheme="minorHAnsi" w:hAnsiTheme="minorHAnsi" w:cstheme="minorHAnsi"/>
          <w:i/>
          <w:szCs w:val="24"/>
        </w:rPr>
        <w:t xml:space="preserve">duplication across media, understanding inter-media relationships and linking demographics or purchaser profile data to viewing behavior. </w:t>
      </w:r>
    </w:p>
    <w:p w:rsidR="001B76BA" w:rsidRDefault="001B76BA" w:rsidP="000A1A46">
      <w:pPr>
        <w:pStyle w:val="BodyText"/>
        <w:spacing w:after="0"/>
        <w:ind w:left="270"/>
        <w:rPr>
          <w:rFonts w:asciiTheme="minorHAnsi" w:hAnsiTheme="minorHAnsi" w:cstheme="minorHAnsi"/>
          <w:i/>
          <w:szCs w:val="24"/>
        </w:rPr>
      </w:pPr>
    </w:p>
    <w:p w:rsidR="00F259CF" w:rsidRDefault="00F259CF" w:rsidP="00F259CF">
      <w:pPr>
        <w:pStyle w:val="BodyText"/>
        <w:numPr>
          <w:ilvl w:val="1"/>
          <w:numId w:val="3"/>
        </w:numPr>
        <w:tabs>
          <w:tab w:val="num" w:pos="630"/>
        </w:tabs>
        <w:spacing w:after="0"/>
        <w:ind w:left="270" w:hanging="270"/>
        <w:rPr>
          <w:rFonts w:asciiTheme="minorHAnsi" w:hAnsiTheme="minorHAnsi" w:cstheme="minorHAnsi"/>
          <w:b/>
          <w:szCs w:val="24"/>
        </w:rPr>
      </w:pPr>
      <w:r>
        <w:rPr>
          <w:rFonts w:asciiTheme="minorHAnsi" w:hAnsiTheme="minorHAnsi" w:cstheme="minorHAnsi"/>
          <w:b/>
          <w:szCs w:val="24"/>
        </w:rPr>
        <w:t>Measurement Should be as Passive as Possible Across all Media</w:t>
      </w:r>
    </w:p>
    <w:p w:rsidR="00F259CF" w:rsidRDefault="00F259CF" w:rsidP="00F259CF">
      <w:pPr>
        <w:pStyle w:val="BodyText"/>
        <w:spacing w:after="0"/>
        <w:ind w:left="270"/>
        <w:rPr>
          <w:rFonts w:asciiTheme="minorHAnsi" w:hAnsiTheme="minorHAnsi" w:cstheme="minorHAnsi"/>
          <w:i/>
          <w:szCs w:val="24"/>
        </w:rPr>
      </w:pPr>
      <w:r>
        <w:rPr>
          <w:rFonts w:asciiTheme="minorHAnsi" w:hAnsiTheme="minorHAnsi" w:cstheme="minorHAnsi"/>
          <w:i/>
          <w:szCs w:val="24"/>
        </w:rPr>
        <w:t>This may be stating the obvious, but the least amount of intrusiveness required by respondents is optimal for the highest quality “behavioral” measures of media exposure.</w:t>
      </w:r>
    </w:p>
    <w:p w:rsidR="00F259CF" w:rsidRDefault="00F259CF" w:rsidP="00F259CF">
      <w:pPr>
        <w:pStyle w:val="BodyText"/>
        <w:spacing w:after="0"/>
        <w:ind w:left="270"/>
        <w:rPr>
          <w:rFonts w:asciiTheme="minorHAnsi" w:hAnsiTheme="minorHAnsi" w:cstheme="minorHAnsi"/>
          <w:i/>
          <w:szCs w:val="24"/>
        </w:rPr>
      </w:pPr>
    </w:p>
    <w:p w:rsidR="000A1A46" w:rsidRDefault="001376E4" w:rsidP="000A1A46">
      <w:pPr>
        <w:pStyle w:val="BodyText"/>
        <w:numPr>
          <w:ilvl w:val="1"/>
          <w:numId w:val="3"/>
        </w:numPr>
        <w:tabs>
          <w:tab w:val="num" w:pos="630"/>
        </w:tabs>
        <w:spacing w:after="0"/>
        <w:ind w:left="270" w:hanging="270"/>
        <w:rPr>
          <w:rFonts w:asciiTheme="minorHAnsi" w:hAnsiTheme="minorHAnsi" w:cstheme="minorHAnsi"/>
          <w:b/>
          <w:szCs w:val="24"/>
        </w:rPr>
      </w:pPr>
      <w:r>
        <w:rPr>
          <w:rFonts w:asciiTheme="minorHAnsi" w:hAnsiTheme="minorHAnsi" w:cstheme="minorHAnsi"/>
          <w:b/>
          <w:szCs w:val="24"/>
        </w:rPr>
        <w:t>Census Data are</w:t>
      </w:r>
      <w:r w:rsidR="00047643">
        <w:rPr>
          <w:rFonts w:asciiTheme="minorHAnsi" w:hAnsiTheme="minorHAnsi" w:cstheme="minorHAnsi"/>
          <w:b/>
          <w:szCs w:val="24"/>
        </w:rPr>
        <w:t xml:space="preserve"> Needed Across all Platforms</w:t>
      </w:r>
    </w:p>
    <w:p w:rsidR="000A1A46" w:rsidRDefault="00047643" w:rsidP="000A1A46">
      <w:pPr>
        <w:pStyle w:val="BodyText"/>
        <w:spacing w:after="0"/>
        <w:ind w:left="270"/>
        <w:rPr>
          <w:rFonts w:asciiTheme="minorHAnsi" w:hAnsiTheme="minorHAnsi" w:cstheme="minorHAnsi"/>
          <w:i/>
          <w:szCs w:val="24"/>
        </w:rPr>
      </w:pPr>
      <w:r>
        <w:rPr>
          <w:rFonts w:asciiTheme="minorHAnsi" w:hAnsiTheme="minorHAnsi" w:cstheme="minorHAnsi"/>
          <w:i/>
          <w:szCs w:val="24"/>
        </w:rPr>
        <w:t xml:space="preserve">Census data </w:t>
      </w:r>
      <w:r w:rsidR="00327BB5">
        <w:rPr>
          <w:rFonts w:asciiTheme="minorHAnsi" w:hAnsiTheme="minorHAnsi" w:cstheme="minorHAnsi"/>
          <w:i/>
          <w:szCs w:val="24"/>
        </w:rPr>
        <w:t>are</w:t>
      </w:r>
      <w:r>
        <w:rPr>
          <w:rFonts w:asciiTheme="minorHAnsi" w:hAnsiTheme="minorHAnsi" w:cstheme="minorHAnsi"/>
          <w:i/>
          <w:szCs w:val="24"/>
        </w:rPr>
        <w:t xml:space="preserve"> needed to </w:t>
      </w:r>
      <w:r w:rsidR="00D84C18">
        <w:rPr>
          <w:rFonts w:asciiTheme="minorHAnsi" w:hAnsiTheme="minorHAnsi" w:cstheme="minorHAnsi"/>
          <w:i/>
          <w:szCs w:val="24"/>
        </w:rPr>
        <w:t>fuel</w:t>
      </w:r>
      <w:r>
        <w:rPr>
          <w:rFonts w:asciiTheme="minorHAnsi" w:hAnsiTheme="minorHAnsi" w:cstheme="minorHAnsi"/>
          <w:i/>
          <w:szCs w:val="24"/>
        </w:rPr>
        <w:t xml:space="preserve"> planning</w:t>
      </w:r>
      <w:r w:rsidR="00D84C18">
        <w:rPr>
          <w:rFonts w:asciiTheme="minorHAnsi" w:hAnsiTheme="minorHAnsi" w:cstheme="minorHAnsi"/>
          <w:i/>
          <w:szCs w:val="24"/>
        </w:rPr>
        <w:t xml:space="preserve">, </w:t>
      </w:r>
      <w:r>
        <w:rPr>
          <w:rFonts w:asciiTheme="minorHAnsi" w:hAnsiTheme="minorHAnsi" w:cstheme="minorHAnsi"/>
          <w:i/>
          <w:szCs w:val="24"/>
        </w:rPr>
        <w:t>transactions</w:t>
      </w:r>
      <w:r w:rsidR="00D84C18">
        <w:rPr>
          <w:rFonts w:asciiTheme="minorHAnsi" w:hAnsiTheme="minorHAnsi" w:cstheme="minorHAnsi"/>
          <w:i/>
          <w:szCs w:val="24"/>
        </w:rPr>
        <w:t xml:space="preserve"> and ROI analyses</w:t>
      </w:r>
      <w:r w:rsidR="00327BB5">
        <w:rPr>
          <w:rFonts w:asciiTheme="minorHAnsi" w:hAnsiTheme="minorHAnsi" w:cstheme="minorHAnsi"/>
          <w:i/>
          <w:szCs w:val="24"/>
        </w:rPr>
        <w:t xml:space="preserve"> for all platforms, including TV</w:t>
      </w:r>
      <w:r>
        <w:rPr>
          <w:rFonts w:asciiTheme="minorHAnsi" w:hAnsiTheme="minorHAnsi" w:cstheme="minorHAnsi"/>
          <w:i/>
          <w:szCs w:val="24"/>
        </w:rPr>
        <w:t>.  Census data can be combined with panels</w:t>
      </w:r>
      <w:r w:rsidR="00D84C18">
        <w:rPr>
          <w:rFonts w:asciiTheme="minorHAnsi" w:hAnsiTheme="minorHAnsi" w:cstheme="minorHAnsi"/>
          <w:i/>
          <w:szCs w:val="24"/>
        </w:rPr>
        <w:t xml:space="preserve"> in hybrid solutions that use </w:t>
      </w:r>
      <w:r>
        <w:rPr>
          <w:rFonts w:asciiTheme="minorHAnsi" w:hAnsiTheme="minorHAnsi" w:cstheme="minorHAnsi"/>
          <w:i/>
          <w:szCs w:val="24"/>
        </w:rPr>
        <w:t xml:space="preserve">demographics and intermedia usage </w:t>
      </w:r>
      <w:r w:rsidR="00D84C18">
        <w:rPr>
          <w:rFonts w:asciiTheme="minorHAnsi" w:hAnsiTheme="minorHAnsi" w:cstheme="minorHAnsi"/>
          <w:i/>
          <w:szCs w:val="24"/>
        </w:rPr>
        <w:t>to adjust</w:t>
      </w:r>
      <w:r>
        <w:rPr>
          <w:rFonts w:asciiTheme="minorHAnsi" w:hAnsiTheme="minorHAnsi" w:cstheme="minorHAnsi"/>
          <w:i/>
          <w:szCs w:val="24"/>
        </w:rPr>
        <w:t xml:space="preserve"> volumetric data</w:t>
      </w:r>
      <w:r w:rsidR="001A26EE">
        <w:rPr>
          <w:rFonts w:asciiTheme="minorHAnsi" w:hAnsiTheme="minorHAnsi" w:cstheme="minorHAnsi"/>
          <w:i/>
          <w:szCs w:val="24"/>
        </w:rPr>
        <w:t>.  Also</w:t>
      </w:r>
      <w:r>
        <w:rPr>
          <w:rFonts w:asciiTheme="minorHAnsi" w:hAnsiTheme="minorHAnsi" w:cstheme="minorHAnsi"/>
          <w:i/>
          <w:szCs w:val="24"/>
        </w:rPr>
        <w:t xml:space="preserve"> “</w:t>
      </w:r>
      <w:r w:rsidR="00D84C18">
        <w:rPr>
          <w:rFonts w:asciiTheme="minorHAnsi" w:hAnsiTheme="minorHAnsi" w:cstheme="minorHAnsi"/>
          <w:i/>
          <w:szCs w:val="24"/>
        </w:rPr>
        <w:t>big</w:t>
      </w:r>
      <w:r>
        <w:rPr>
          <w:rFonts w:asciiTheme="minorHAnsi" w:hAnsiTheme="minorHAnsi" w:cstheme="minorHAnsi"/>
          <w:i/>
          <w:szCs w:val="24"/>
        </w:rPr>
        <w:t xml:space="preserve"> data” sources of p</w:t>
      </w:r>
      <w:r w:rsidR="00327BB5">
        <w:rPr>
          <w:rFonts w:asciiTheme="minorHAnsi" w:hAnsiTheme="minorHAnsi" w:cstheme="minorHAnsi"/>
          <w:i/>
          <w:szCs w:val="24"/>
        </w:rPr>
        <w:t>urchasing, demographic and</w:t>
      </w:r>
      <w:r>
        <w:rPr>
          <w:rFonts w:asciiTheme="minorHAnsi" w:hAnsiTheme="minorHAnsi" w:cstheme="minorHAnsi"/>
          <w:i/>
          <w:szCs w:val="24"/>
        </w:rPr>
        <w:t xml:space="preserve"> behavioral data can </w:t>
      </w:r>
      <w:r w:rsidR="00D84C18">
        <w:rPr>
          <w:rFonts w:asciiTheme="minorHAnsi" w:hAnsiTheme="minorHAnsi" w:cstheme="minorHAnsi"/>
          <w:i/>
          <w:szCs w:val="24"/>
        </w:rPr>
        <w:t xml:space="preserve">be matched to census data </w:t>
      </w:r>
      <w:r>
        <w:rPr>
          <w:rFonts w:asciiTheme="minorHAnsi" w:hAnsiTheme="minorHAnsi" w:cstheme="minorHAnsi"/>
          <w:i/>
          <w:szCs w:val="24"/>
        </w:rPr>
        <w:t>for segmentation, targeting</w:t>
      </w:r>
      <w:r w:rsidR="001A26EE">
        <w:rPr>
          <w:rFonts w:asciiTheme="minorHAnsi" w:hAnsiTheme="minorHAnsi" w:cstheme="minorHAnsi"/>
          <w:i/>
          <w:szCs w:val="24"/>
        </w:rPr>
        <w:t>,</w:t>
      </w:r>
      <w:r>
        <w:rPr>
          <w:rFonts w:asciiTheme="minorHAnsi" w:hAnsiTheme="minorHAnsi" w:cstheme="minorHAnsi"/>
          <w:i/>
          <w:szCs w:val="24"/>
        </w:rPr>
        <w:t xml:space="preserve"> and ROI analyses.  </w:t>
      </w:r>
    </w:p>
    <w:p w:rsidR="000A1A46" w:rsidRDefault="000A1A46" w:rsidP="00F259CF">
      <w:pPr>
        <w:pStyle w:val="BodyText"/>
        <w:spacing w:after="0"/>
        <w:rPr>
          <w:rFonts w:asciiTheme="minorHAnsi" w:hAnsiTheme="minorHAnsi" w:cstheme="minorHAnsi"/>
          <w:i/>
          <w:szCs w:val="24"/>
        </w:rPr>
      </w:pPr>
    </w:p>
    <w:p w:rsidR="000A1A46" w:rsidRDefault="00047643" w:rsidP="000A1A46">
      <w:pPr>
        <w:pStyle w:val="BodyText"/>
        <w:numPr>
          <w:ilvl w:val="1"/>
          <w:numId w:val="3"/>
        </w:numPr>
        <w:tabs>
          <w:tab w:val="num" w:pos="630"/>
        </w:tabs>
        <w:spacing w:after="0"/>
        <w:ind w:left="270" w:hanging="270"/>
        <w:rPr>
          <w:rFonts w:asciiTheme="minorHAnsi" w:hAnsiTheme="minorHAnsi" w:cstheme="minorHAnsi"/>
          <w:b/>
          <w:szCs w:val="24"/>
        </w:rPr>
      </w:pPr>
      <w:r>
        <w:rPr>
          <w:rFonts w:asciiTheme="minorHAnsi" w:hAnsiTheme="minorHAnsi" w:cstheme="minorHAnsi"/>
          <w:b/>
          <w:szCs w:val="24"/>
        </w:rPr>
        <w:t xml:space="preserve">Individual Measurement is Optimal, but </w:t>
      </w:r>
      <w:r w:rsidR="00327BB5">
        <w:rPr>
          <w:rFonts w:asciiTheme="minorHAnsi" w:hAnsiTheme="minorHAnsi" w:cstheme="minorHAnsi"/>
          <w:b/>
          <w:szCs w:val="24"/>
        </w:rPr>
        <w:t>Household Level Data is Useful</w:t>
      </w:r>
    </w:p>
    <w:p w:rsidR="00D84C18" w:rsidRDefault="00047643" w:rsidP="000A1A46">
      <w:pPr>
        <w:pStyle w:val="BodyText"/>
        <w:spacing w:after="0"/>
        <w:ind w:left="270"/>
        <w:rPr>
          <w:rFonts w:asciiTheme="minorHAnsi" w:hAnsiTheme="minorHAnsi" w:cstheme="minorHAnsi"/>
          <w:i/>
          <w:szCs w:val="24"/>
        </w:rPr>
      </w:pPr>
      <w:r>
        <w:rPr>
          <w:rFonts w:asciiTheme="minorHAnsi" w:hAnsiTheme="minorHAnsi" w:cstheme="minorHAnsi"/>
          <w:i/>
          <w:szCs w:val="24"/>
        </w:rPr>
        <w:t>It’s ideal if cross-platform media measurement can be reported</w:t>
      </w:r>
      <w:r w:rsidR="000A1A46">
        <w:rPr>
          <w:rFonts w:asciiTheme="minorHAnsi" w:hAnsiTheme="minorHAnsi" w:cstheme="minorHAnsi"/>
          <w:i/>
          <w:szCs w:val="24"/>
        </w:rPr>
        <w:t xml:space="preserve"> a</w:t>
      </w:r>
      <w:r>
        <w:rPr>
          <w:rFonts w:asciiTheme="minorHAnsi" w:hAnsiTheme="minorHAnsi" w:cstheme="minorHAnsi"/>
          <w:i/>
          <w:szCs w:val="24"/>
        </w:rPr>
        <w:t xml:space="preserve">t the individual level </w:t>
      </w:r>
      <w:r w:rsidR="000A1A46">
        <w:rPr>
          <w:rFonts w:asciiTheme="minorHAnsi" w:hAnsiTheme="minorHAnsi" w:cstheme="minorHAnsi"/>
          <w:i/>
          <w:szCs w:val="24"/>
        </w:rPr>
        <w:t>to accurately combine and de-duplicate media exposures for individuals across platforms</w:t>
      </w:r>
      <w:r w:rsidR="00327BB5">
        <w:rPr>
          <w:rFonts w:asciiTheme="minorHAnsi" w:hAnsiTheme="minorHAnsi" w:cstheme="minorHAnsi"/>
          <w:i/>
          <w:szCs w:val="24"/>
        </w:rPr>
        <w:t xml:space="preserve"> in a privacy-compliant manner</w:t>
      </w:r>
      <w:r w:rsidR="000A1A46">
        <w:rPr>
          <w:rFonts w:asciiTheme="minorHAnsi" w:hAnsiTheme="minorHAnsi" w:cstheme="minorHAnsi"/>
          <w:i/>
          <w:szCs w:val="24"/>
        </w:rPr>
        <w:t xml:space="preserve">.  </w:t>
      </w:r>
      <w:r>
        <w:rPr>
          <w:rFonts w:asciiTheme="minorHAnsi" w:hAnsiTheme="minorHAnsi" w:cstheme="minorHAnsi"/>
          <w:i/>
          <w:szCs w:val="24"/>
        </w:rPr>
        <w:t>However, h</w:t>
      </w:r>
      <w:r w:rsidR="000A1A46">
        <w:rPr>
          <w:rFonts w:asciiTheme="minorHAnsi" w:hAnsiTheme="minorHAnsi" w:cstheme="minorHAnsi"/>
          <w:i/>
          <w:szCs w:val="24"/>
        </w:rPr>
        <w:t xml:space="preserve">ousehold </w:t>
      </w:r>
      <w:r>
        <w:rPr>
          <w:rFonts w:asciiTheme="minorHAnsi" w:hAnsiTheme="minorHAnsi" w:cstheme="minorHAnsi"/>
          <w:i/>
          <w:szCs w:val="24"/>
        </w:rPr>
        <w:t xml:space="preserve">level </w:t>
      </w:r>
      <w:r w:rsidR="000A1A46">
        <w:rPr>
          <w:rFonts w:asciiTheme="minorHAnsi" w:hAnsiTheme="minorHAnsi" w:cstheme="minorHAnsi"/>
          <w:i/>
          <w:szCs w:val="24"/>
        </w:rPr>
        <w:t xml:space="preserve">measurement </w:t>
      </w:r>
      <w:r w:rsidR="00327BB5">
        <w:rPr>
          <w:rFonts w:asciiTheme="minorHAnsi" w:hAnsiTheme="minorHAnsi" w:cstheme="minorHAnsi"/>
          <w:i/>
          <w:szCs w:val="24"/>
        </w:rPr>
        <w:t>is also useful</w:t>
      </w:r>
      <w:r w:rsidR="00D84C18">
        <w:rPr>
          <w:rFonts w:asciiTheme="minorHAnsi" w:hAnsiTheme="minorHAnsi" w:cstheme="minorHAnsi"/>
          <w:i/>
          <w:szCs w:val="24"/>
        </w:rPr>
        <w:t>,</w:t>
      </w:r>
      <w:r>
        <w:rPr>
          <w:rFonts w:asciiTheme="minorHAnsi" w:hAnsiTheme="minorHAnsi" w:cstheme="minorHAnsi"/>
          <w:i/>
          <w:szCs w:val="24"/>
        </w:rPr>
        <w:t xml:space="preserve"> and allow</w:t>
      </w:r>
      <w:r w:rsidR="00D84C18">
        <w:rPr>
          <w:rFonts w:asciiTheme="minorHAnsi" w:hAnsiTheme="minorHAnsi" w:cstheme="minorHAnsi"/>
          <w:i/>
          <w:szCs w:val="24"/>
        </w:rPr>
        <w:t xml:space="preserve">s </w:t>
      </w:r>
      <w:r w:rsidR="001A26EE">
        <w:rPr>
          <w:rFonts w:asciiTheme="minorHAnsi" w:hAnsiTheme="minorHAnsi" w:cstheme="minorHAnsi"/>
          <w:i/>
          <w:szCs w:val="24"/>
        </w:rPr>
        <w:t xml:space="preserve">for </w:t>
      </w:r>
      <w:r w:rsidR="00D84C18">
        <w:rPr>
          <w:rFonts w:asciiTheme="minorHAnsi" w:hAnsiTheme="minorHAnsi" w:cstheme="minorHAnsi"/>
          <w:i/>
          <w:szCs w:val="24"/>
        </w:rPr>
        <w:t>privacy-compliant</w:t>
      </w:r>
      <w:r>
        <w:rPr>
          <w:rFonts w:asciiTheme="minorHAnsi" w:hAnsiTheme="minorHAnsi" w:cstheme="minorHAnsi"/>
          <w:i/>
          <w:szCs w:val="24"/>
        </w:rPr>
        <w:t xml:space="preserve"> </w:t>
      </w:r>
      <w:r w:rsidR="001A26EE">
        <w:rPr>
          <w:rFonts w:asciiTheme="minorHAnsi" w:hAnsiTheme="minorHAnsi" w:cstheme="minorHAnsi"/>
          <w:i/>
          <w:szCs w:val="24"/>
        </w:rPr>
        <w:t xml:space="preserve">matching to </w:t>
      </w:r>
      <w:r w:rsidR="00D84C18">
        <w:rPr>
          <w:rFonts w:asciiTheme="minorHAnsi" w:hAnsiTheme="minorHAnsi" w:cstheme="minorHAnsi"/>
          <w:i/>
          <w:szCs w:val="24"/>
        </w:rPr>
        <w:t xml:space="preserve">descriptive datasets for segmentation, targeting, and ROI analyses.  </w:t>
      </w:r>
    </w:p>
    <w:p w:rsidR="00327BB5" w:rsidRDefault="00327BB5" w:rsidP="000A1A46">
      <w:pPr>
        <w:pStyle w:val="BodyText"/>
        <w:spacing w:after="0"/>
        <w:ind w:left="270"/>
        <w:rPr>
          <w:rFonts w:asciiTheme="minorHAnsi" w:hAnsiTheme="minorHAnsi" w:cstheme="minorHAnsi"/>
          <w:i/>
          <w:szCs w:val="24"/>
        </w:rPr>
      </w:pPr>
    </w:p>
    <w:p w:rsidR="000A1A46" w:rsidRDefault="000A1A46" w:rsidP="000A1A46">
      <w:pPr>
        <w:pStyle w:val="BodyText"/>
        <w:numPr>
          <w:ilvl w:val="1"/>
          <w:numId w:val="3"/>
        </w:numPr>
        <w:tabs>
          <w:tab w:val="num" w:pos="630"/>
        </w:tabs>
        <w:spacing w:after="0"/>
        <w:ind w:left="270" w:hanging="270"/>
        <w:rPr>
          <w:rFonts w:asciiTheme="minorHAnsi" w:hAnsiTheme="minorHAnsi" w:cstheme="minorHAnsi"/>
          <w:b/>
          <w:szCs w:val="24"/>
        </w:rPr>
      </w:pPr>
      <w:r>
        <w:rPr>
          <w:rFonts w:asciiTheme="minorHAnsi" w:hAnsiTheme="minorHAnsi" w:cstheme="minorHAnsi"/>
          <w:b/>
          <w:szCs w:val="24"/>
        </w:rPr>
        <w:t xml:space="preserve">Measure Ads and Content Separately </w:t>
      </w:r>
    </w:p>
    <w:p w:rsidR="001B76BA" w:rsidRDefault="000A1A46" w:rsidP="001B76BA">
      <w:pPr>
        <w:pStyle w:val="BodyText"/>
        <w:spacing w:after="0"/>
        <w:ind w:left="270"/>
        <w:rPr>
          <w:rFonts w:asciiTheme="minorHAnsi" w:hAnsiTheme="minorHAnsi" w:cstheme="minorHAnsi"/>
          <w:i/>
          <w:szCs w:val="24"/>
        </w:rPr>
      </w:pPr>
      <w:r>
        <w:rPr>
          <w:rFonts w:asciiTheme="minorHAnsi" w:hAnsiTheme="minorHAnsi" w:cstheme="minorHAnsi"/>
          <w:i/>
          <w:szCs w:val="24"/>
        </w:rPr>
        <w:t>Measurement of ads and content need to be separated across all media, to enable the calculation of “ad impressions” across different platforms and technologies, particularly due to the growth in ad targeting and new technologies in TV VOD, such as dynamic ad insertion.</w:t>
      </w:r>
    </w:p>
    <w:p w:rsidR="000A1A46" w:rsidRDefault="000A1A46" w:rsidP="000A1A46">
      <w:pPr>
        <w:pStyle w:val="BodyText"/>
        <w:spacing w:after="0"/>
        <w:ind w:left="270"/>
        <w:rPr>
          <w:rFonts w:asciiTheme="minorHAnsi" w:hAnsiTheme="minorHAnsi" w:cstheme="minorHAnsi"/>
          <w:i/>
          <w:szCs w:val="24"/>
        </w:rPr>
      </w:pPr>
    </w:p>
    <w:p w:rsidR="001B76BA" w:rsidRPr="001B76BA" w:rsidRDefault="001B76BA" w:rsidP="000A1A46">
      <w:pPr>
        <w:pStyle w:val="BodyText"/>
        <w:numPr>
          <w:ilvl w:val="1"/>
          <w:numId w:val="3"/>
        </w:numPr>
        <w:tabs>
          <w:tab w:val="num" w:pos="630"/>
        </w:tabs>
        <w:spacing w:after="0"/>
        <w:ind w:left="270" w:hanging="270"/>
        <w:rPr>
          <w:rFonts w:asciiTheme="minorHAnsi" w:hAnsiTheme="minorHAnsi" w:cstheme="minorHAnsi"/>
          <w:b/>
          <w:szCs w:val="24"/>
        </w:rPr>
      </w:pPr>
      <w:r>
        <w:rPr>
          <w:rFonts w:asciiTheme="minorHAnsi" w:hAnsiTheme="minorHAnsi" w:cstheme="minorHAnsi"/>
          <w:b/>
          <w:szCs w:val="24"/>
        </w:rPr>
        <w:t>Align Metrics across Platforms</w:t>
      </w:r>
      <w:r>
        <w:rPr>
          <w:rFonts w:asciiTheme="minorHAnsi" w:hAnsiTheme="minorHAnsi" w:cstheme="minorHAnsi"/>
          <w:szCs w:val="24"/>
        </w:rPr>
        <w:t xml:space="preserve">:  </w:t>
      </w:r>
    </w:p>
    <w:p w:rsidR="001B76BA" w:rsidRDefault="001B76BA" w:rsidP="001B76BA">
      <w:pPr>
        <w:pStyle w:val="BodyText"/>
        <w:tabs>
          <w:tab w:val="num" w:pos="1440"/>
        </w:tabs>
        <w:spacing w:after="0"/>
        <w:ind w:left="270"/>
        <w:rPr>
          <w:rFonts w:asciiTheme="minorHAnsi" w:hAnsiTheme="minorHAnsi" w:cstheme="minorHAnsi"/>
          <w:b/>
          <w:szCs w:val="24"/>
        </w:rPr>
      </w:pPr>
      <w:r>
        <w:rPr>
          <w:rFonts w:asciiTheme="minorHAnsi" w:hAnsiTheme="minorHAnsi" w:cstheme="minorHAnsi"/>
          <w:i/>
          <w:szCs w:val="24"/>
        </w:rPr>
        <w:t>Common metrics are needed to make comparisons of exposure across platforms, including alignment of definitions for day, week, month and units of analysis, such a</w:t>
      </w:r>
      <w:r w:rsidR="00327BB5">
        <w:rPr>
          <w:rFonts w:asciiTheme="minorHAnsi" w:hAnsiTheme="minorHAnsi" w:cstheme="minorHAnsi"/>
          <w:i/>
          <w:szCs w:val="24"/>
        </w:rPr>
        <w:t xml:space="preserve"> viewable</w:t>
      </w:r>
      <w:r>
        <w:rPr>
          <w:rFonts w:asciiTheme="minorHAnsi" w:hAnsiTheme="minorHAnsi" w:cstheme="minorHAnsi"/>
          <w:i/>
          <w:szCs w:val="24"/>
        </w:rPr>
        <w:t xml:space="preserve"> impressions.</w:t>
      </w:r>
    </w:p>
    <w:p w:rsidR="001B76BA" w:rsidRDefault="001B76BA" w:rsidP="001B76BA">
      <w:pPr>
        <w:pStyle w:val="BodyText"/>
        <w:tabs>
          <w:tab w:val="num" w:pos="1440"/>
        </w:tabs>
        <w:spacing w:after="0"/>
        <w:rPr>
          <w:rFonts w:asciiTheme="minorHAnsi" w:hAnsiTheme="minorHAnsi" w:cstheme="minorHAnsi"/>
          <w:b/>
          <w:szCs w:val="24"/>
        </w:rPr>
      </w:pPr>
    </w:p>
    <w:p w:rsidR="000A1A46" w:rsidRDefault="000A1A46" w:rsidP="000A1A46">
      <w:pPr>
        <w:pStyle w:val="BodyText"/>
        <w:numPr>
          <w:ilvl w:val="1"/>
          <w:numId w:val="3"/>
        </w:numPr>
        <w:tabs>
          <w:tab w:val="num" w:pos="630"/>
        </w:tabs>
        <w:spacing w:after="0"/>
        <w:ind w:left="270" w:hanging="270"/>
        <w:rPr>
          <w:rFonts w:asciiTheme="minorHAnsi" w:hAnsiTheme="minorHAnsi" w:cstheme="minorHAnsi"/>
          <w:b/>
          <w:szCs w:val="24"/>
        </w:rPr>
      </w:pPr>
      <w:r>
        <w:rPr>
          <w:rFonts w:asciiTheme="minorHAnsi" w:hAnsiTheme="minorHAnsi" w:cstheme="minorHAnsi"/>
          <w:b/>
          <w:szCs w:val="24"/>
        </w:rPr>
        <w:t>Implement Asset Identification Open Standards (EIDR and Ad-ID)</w:t>
      </w:r>
    </w:p>
    <w:p w:rsidR="000A1A46" w:rsidRDefault="00D84C18" w:rsidP="000A1A46">
      <w:pPr>
        <w:pStyle w:val="BodyText"/>
        <w:spacing w:after="0"/>
        <w:ind w:left="270"/>
        <w:rPr>
          <w:rFonts w:asciiTheme="minorHAnsi" w:hAnsiTheme="minorHAnsi" w:cstheme="minorHAnsi"/>
          <w:i/>
          <w:szCs w:val="24"/>
        </w:rPr>
      </w:pPr>
      <w:r>
        <w:rPr>
          <w:rFonts w:asciiTheme="minorHAnsi" w:hAnsiTheme="minorHAnsi" w:cstheme="minorHAnsi"/>
          <w:i/>
          <w:szCs w:val="24"/>
        </w:rPr>
        <w:t>Open standards to identify</w:t>
      </w:r>
      <w:r w:rsidR="000A1A46">
        <w:rPr>
          <w:rFonts w:asciiTheme="minorHAnsi" w:hAnsiTheme="minorHAnsi" w:cstheme="minorHAnsi"/>
          <w:i/>
          <w:szCs w:val="24"/>
        </w:rPr>
        <w:t xml:space="preserve"> video ads and content </w:t>
      </w:r>
      <w:r>
        <w:rPr>
          <w:rFonts w:asciiTheme="minorHAnsi" w:hAnsiTheme="minorHAnsi" w:cstheme="minorHAnsi"/>
          <w:i/>
          <w:szCs w:val="24"/>
        </w:rPr>
        <w:t>that are bound into the asset are</w:t>
      </w:r>
      <w:r w:rsidR="000A1A46">
        <w:rPr>
          <w:rFonts w:asciiTheme="minorHAnsi" w:hAnsiTheme="minorHAnsi" w:cstheme="minorHAnsi"/>
          <w:i/>
          <w:szCs w:val="24"/>
        </w:rPr>
        <w:t xml:space="preserve"> needed to track assets more efficiently and openly across the entire ecosystem. The identification standards</w:t>
      </w:r>
      <w:r>
        <w:rPr>
          <w:rFonts w:asciiTheme="minorHAnsi" w:hAnsiTheme="minorHAnsi" w:cstheme="minorHAnsi"/>
          <w:i/>
          <w:szCs w:val="24"/>
        </w:rPr>
        <w:t xml:space="preserve"> recommended by CIMM</w:t>
      </w:r>
      <w:r w:rsidR="000A1A46">
        <w:rPr>
          <w:rFonts w:asciiTheme="minorHAnsi" w:hAnsiTheme="minorHAnsi" w:cstheme="minorHAnsi"/>
          <w:i/>
          <w:szCs w:val="24"/>
        </w:rPr>
        <w:t xml:space="preserve"> are </w:t>
      </w:r>
      <w:hyperlink r:id="rId8" w:history="1">
        <w:r w:rsidR="000A1A46">
          <w:rPr>
            <w:rStyle w:val="Hyperlink"/>
            <w:rFonts w:asciiTheme="minorHAnsi" w:hAnsiTheme="minorHAnsi" w:cstheme="minorHAnsi"/>
            <w:i/>
            <w:szCs w:val="24"/>
          </w:rPr>
          <w:t>Ad-ID</w:t>
        </w:r>
      </w:hyperlink>
      <w:r w:rsidR="000A1A46">
        <w:rPr>
          <w:rFonts w:asciiTheme="minorHAnsi" w:hAnsiTheme="minorHAnsi" w:cstheme="minorHAnsi"/>
          <w:i/>
          <w:szCs w:val="24"/>
        </w:rPr>
        <w:t xml:space="preserve"> for ads and </w:t>
      </w:r>
      <w:hyperlink r:id="rId9" w:history="1">
        <w:r w:rsidR="000A1A46">
          <w:rPr>
            <w:rStyle w:val="Hyperlink"/>
            <w:rFonts w:asciiTheme="minorHAnsi" w:hAnsiTheme="minorHAnsi" w:cstheme="minorHAnsi"/>
            <w:i/>
            <w:szCs w:val="24"/>
          </w:rPr>
          <w:t>EIDR</w:t>
        </w:r>
      </w:hyperlink>
      <w:r w:rsidR="000A1A46">
        <w:rPr>
          <w:rFonts w:asciiTheme="minorHAnsi" w:hAnsiTheme="minorHAnsi" w:cstheme="minorHAnsi"/>
          <w:i/>
          <w:szCs w:val="24"/>
        </w:rPr>
        <w:t xml:space="preserve"> (Entertainment ID Registry) for content.  </w:t>
      </w:r>
    </w:p>
    <w:p w:rsidR="0050324E" w:rsidRDefault="0050324E" w:rsidP="000A1A46">
      <w:pPr>
        <w:pStyle w:val="BodyText"/>
        <w:spacing w:after="0"/>
        <w:ind w:left="270"/>
        <w:rPr>
          <w:rFonts w:asciiTheme="minorHAnsi" w:hAnsiTheme="minorHAnsi" w:cstheme="minorHAnsi"/>
          <w:i/>
          <w:szCs w:val="24"/>
        </w:rPr>
      </w:pPr>
    </w:p>
    <w:sectPr w:rsidR="0050324E" w:rsidSect="001B76BA">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9FA" w:rsidRDefault="00A209FA" w:rsidP="00D96792">
      <w:pPr>
        <w:spacing w:after="0" w:line="240" w:lineRule="auto"/>
      </w:pPr>
      <w:r>
        <w:separator/>
      </w:r>
    </w:p>
  </w:endnote>
  <w:endnote w:type="continuationSeparator" w:id="0">
    <w:p w:rsidR="00A209FA" w:rsidRDefault="00A209FA" w:rsidP="00D96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9FA" w:rsidRDefault="00A209FA" w:rsidP="00D96792">
      <w:pPr>
        <w:spacing w:after="0" w:line="240" w:lineRule="auto"/>
      </w:pPr>
      <w:r>
        <w:separator/>
      </w:r>
    </w:p>
  </w:footnote>
  <w:footnote w:type="continuationSeparator" w:id="0">
    <w:p w:rsidR="00A209FA" w:rsidRDefault="00A209FA" w:rsidP="00D967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E3968"/>
    <w:multiLevelType w:val="hybridMultilevel"/>
    <w:tmpl w:val="06A68EEA"/>
    <w:lvl w:ilvl="0" w:tplc="10ACE092">
      <w:start w:val="1"/>
      <w:numFmt w:val="decimal"/>
      <w:lvlText w:val="%1."/>
      <w:lvlJc w:val="left"/>
      <w:pPr>
        <w:tabs>
          <w:tab w:val="num" w:pos="720"/>
        </w:tabs>
        <w:ind w:left="720" w:hanging="360"/>
      </w:pPr>
    </w:lvl>
    <w:lvl w:ilvl="1" w:tplc="E52668DA">
      <w:start w:val="1"/>
      <w:numFmt w:val="decimal"/>
      <w:lvlText w:val="%2."/>
      <w:lvlJc w:val="left"/>
      <w:pPr>
        <w:tabs>
          <w:tab w:val="num" w:pos="1440"/>
        </w:tabs>
        <w:ind w:left="1440" w:hanging="360"/>
      </w:pPr>
    </w:lvl>
    <w:lvl w:ilvl="2" w:tplc="DEFC2960" w:tentative="1">
      <w:start w:val="1"/>
      <w:numFmt w:val="decimal"/>
      <w:lvlText w:val="%3."/>
      <w:lvlJc w:val="left"/>
      <w:pPr>
        <w:tabs>
          <w:tab w:val="num" w:pos="2160"/>
        </w:tabs>
        <w:ind w:left="2160" w:hanging="360"/>
      </w:pPr>
    </w:lvl>
    <w:lvl w:ilvl="3" w:tplc="A2669A2E" w:tentative="1">
      <w:start w:val="1"/>
      <w:numFmt w:val="decimal"/>
      <w:lvlText w:val="%4."/>
      <w:lvlJc w:val="left"/>
      <w:pPr>
        <w:tabs>
          <w:tab w:val="num" w:pos="2880"/>
        </w:tabs>
        <w:ind w:left="2880" w:hanging="360"/>
      </w:pPr>
    </w:lvl>
    <w:lvl w:ilvl="4" w:tplc="5E204A38" w:tentative="1">
      <w:start w:val="1"/>
      <w:numFmt w:val="decimal"/>
      <w:lvlText w:val="%5."/>
      <w:lvlJc w:val="left"/>
      <w:pPr>
        <w:tabs>
          <w:tab w:val="num" w:pos="3600"/>
        </w:tabs>
        <w:ind w:left="3600" w:hanging="360"/>
      </w:pPr>
    </w:lvl>
    <w:lvl w:ilvl="5" w:tplc="C39A9D26" w:tentative="1">
      <w:start w:val="1"/>
      <w:numFmt w:val="decimal"/>
      <w:lvlText w:val="%6."/>
      <w:lvlJc w:val="left"/>
      <w:pPr>
        <w:tabs>
          <w:tab w:val="num" w:pos="4320"/>
        </w:tabs>
        <w:ind w:left="4320" w:hanging="360"/>
      </w:pPr>
    </w:lvl>
    <w:lvl w:ilvl="6" w:tplc="6094A6D6" w:tentative="1">
      <w:start w:val="1"/>
      <w:numFmt w:val="decimal"/>
      <w:lvlText w:val="%7."/>
      <w:lvlJc w:val="left"/>
      <w:pPr>
        <w:tabs>
          <w:tab w:val="num" w:pos="5040"/>
        </w:tabs>
        <w:ind w:left="5040" w:hanging="360"/>
      </w:pPr>
    </w:lvl>
    <w:lvl w:ilvl="7" w:tplc="D018E682" w:tentative="1">
      <w:start w:val="1"/>
      <w:numFmt w:val="decimal"/>
      <w:lvlText w:val="%8."/>
      <w:lvlJc w:val="left"/>
      <w:pPr>
        <w:tabs>
          <w:tab w:val="num" w:pos="5760"/>
        </w:tabs>
        <w:ind w:left="5760" w:hanging="360"/>
      </w:pPr>
    </w:lvl>
    <w:lvl w:ilvl="8" w:tplc="8F10D0B2" w:tentative="1">
      <w:start w:val="1"/>
      <w:numFmt w:val="decimal"/>
      <w:lvlText w:val="%9."/>
      <w:lvlJc w:val="left"/>
      <w:pPr>
        <w:tabs>
          <w:tab w:val="num" w:pos="6480"/>
        </w:tabs>
        <w:ind w:left="6480" w:hanging="360"/>
      </w:pPr>
    </w:lvl>
  </w:abstractNum>
  <w:abstractNum w:abstractNumId="1">
    <w:nsid w:val="46FD1163"/>
    <w:multiLevelType w:val="hybridMultilevel"/>
    <w:tmpl w:val="F530FE8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2C06E9D"/>
    <w:multiLevelType w:val="hybridMultilevel"/>
    <w:tmpl w:val="C360E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230"/>
    <w:rsid w:val="000135B5"/>
    <w:rsid w:val="000226F4"/>
    <w:rsid w:val="00032651"/>
    <w:rsid w:val="00040BEE"/>
    <w:rsid w:val="0004391C"/>
    <w:rsid w:val="00047643"/>
    <w:rsid w:val="00091CF5"/>
    <w:rsid w:val="000A1A46"/>
    <w:rsid w:val="000B1DE1"/>
    <w:rsid w:val="000B5976"/>
    <w:rsid w:val="000E3723"/>
    <w:rsid w:val="000F3C44"/>
    <w:rsid w:val="001040DF"/>
    <w:rsid w:val="001376E4"/>
    <w:rsid w:val="0016759E"/>
    <w:rsid w:val="00184204"/>
    <w:rsid w:val="00196F17"/>
    <w:rsid w:val="001A26EE"/>
    <w:rsid w:val="001B2DAD"/>
    <w:rsid w:val="001B76BA"/>
    <w:rsid w:val="001D62B8"/>
    <w:rsid w:val="00205F0C"/>
    <w:rsid w:val="00224842"/>
    <w:rsid w:val="00281E34"/>
    <w:rsid w:val="002D3C89"/>
    <w:rsid w:val="00327BB5"/>
    <w:rsid w:val="0035775D"/>
    <w:rsid w:val="00363420"/>
    <w:rsid w:val="003E6C77"/>
    <w:rsid w:val="004868DF"/>
    <w:rsid w:val="00494FAD"/>
    <w:rsid w:val="00496DDB"/>
    <w:rsid w:val="004A3205"/>
    <w:rsid w:val="004F00A8"/>
    <w:rsid w:val="0050324E"/>
    <w:rsid w:val="005219F4"/>
    <w:rsid w:val="00537D51"/>
    <w:rsid w:val="00561E4C"/>
    <w:rsid w:val="00571080"/>
    <w:rsid w:val="00634A87"/>
    <w:rsid w:val="00661BB4"/>
    <w:rsid w:val="0066588E"/>
    <w:rsid w:val="006A2D22"/>
    <w:rsid w:val="007130A0"/>
    <w:rsid w:val="00725D7B"/>
    <w:rsid w:val="0075349E"/>
    <w:rsid w:val="007F41F6"/>
    <w:rsid w:val="007F6594"/>
    <w:rsid w:val="008807E2"/>
    <w:rsid w:val="00883DCB"/>
    <w:rsid w:val="00890D43"/>
    <w:rsid w:val="008B1521"/>
    <w:rsid w:val="008B40AE"/>
    <w:rsid w:val="008B6230"/>
    <w:rsid w:val="008C1069"/>
    <w:rsid w:val="008D2DC3"/>
    <w:rsid w:val="008D7F4A"/>
    <w:rsid w:val="00927964"/>
    <w:rsid w:val="009A7A11"/>
    <w:rsid w:val="009C59EF"/>
    <w:rsid w:val="009F01AA"/>
    <w:rsid w:val="00A209FA"/>
    <w:rsid w:val="00A8674A"/>
    <w:rsid w:val="00A9064C"/>
    <w:rsid w:val="00AA40CE"/>
    <w:rsid w:val="00AA5B26"/>
    <w:rsid w:val="00AC63F5"/>
    <w:rsid w:val="00B20F05"/>
    <w:rsid w:val="00B53B67"/>
    <w:rsid w:val="00BA393C"/>
    <w:rsid w:val="00BC0CE9"/>
    <w:rsid w:val="00BC7C4D"/>
    <w:rsid w:val="00BE3A71"/>
    <w:rsid w:val="00BF49F6"/>
    <w:rsid w:val="00BF7D0C"/>
    <w:rsid w:val="00C1085C"/>
    <w:rsid w:val="00C61085"/>
    <w:rsid w:val="00C8557B"/>
    <w:rsid w:val="00C97762"/>
    <w:rsid w:val="00CF22A4"/>
    <w:rsid w:val="00D25758"/>
    <w:rsid w:val="00D41F6B"/>
    <w:rsid w:val="00D84C18"/>
    <w:rsid w:val="00D96792"/>
    <w:rsid w:val="00DF7E74"/>
    <w:rsid w:val="00E2331A"/>
    <w:rsid w:val="00E70771"/>
    <w:rsid w:val="00E71009"/>
    <w:rsid w:val="00E72827"/>
    <w:rsid w:val="00EA422C"/>
    <w:rsid w:val="00ED09B9"/>
    <w:rsid w:val="00ED59D6"/>
    <w:rsid w:val="00ED69C5"/>
    <w:rsid w:val="00EF1E2A"/>
    <w:rsid w:val="00F237F8"/>
    <w:rsid w:val="00F259CF"/>
    <w:rsid w:val="00F363B9"/>
    <w:rsid w:val="00F6618C"/>
    <w:rsid w:val="00F8031C"/>
    <w:rsid w:val="00FA1437"/>
    <w:rsid w:val="00FA7092"/>
    <w:rsid w:val="00FD2B02"/>
    <w:rsid w:val="00FD5286"/>
    <w:rsid w:val="00FE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230"/>
    <w:pPr>
      <w:spacing w:after="0" w:line="240" w:lineRule="auto"/>
      <w:ind w:left="720"/>
    </w:pPr>
    <w:rPr>
      <w:rFonts w:ascii="Calibri" w:hAnsi="Calibri" w:cs="Calibri"/>
    </w:rPr>
  </w:style>
  <w:style w:type="paragraph" w:styleId="BodyText">
    <w:name w:val="Body Text"/>
    <w:basedOn w:val="Normal"/>
    <w:link w:val="BodyTextChar"/>
    <w:rsid w:val="008B6230"/>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B6230"/>
    <w:rPr>
      <w:rFonts w:ascii="Times New Roman" w:eastAsia="Times New Roman" w:hAnsi="Times New Roman" w:cs="Times New Roman"/>
      <w:sz w:val="24"/>
      <w:szCs w:val="20"/>
    </w:rPr>
  </w:style>
  <w:style w:type="character" w:customStyle="1" w:styleId="apple-converted-space">
    <w:name w:val="apple-converted-space"/>
    <w:basedOn w:val="DefaultParagraphFont"/>
    <w:rsid w:val="00AA40CE"/>
  </w:style>
  <w:style w:type="character" w:styleId="Hyperlink">
    <w:name w:val="Hyperlink"/>
    <w:basedOn w:val="DefaultParagraphFont"/>
    <w:uiPriority w:val="99"/>
    <w:unhideWhenUsed/>
    <w:rsid w:val="00040BEE"/>
    <w:rPr>
      <w:color w:val="0000FF" w:themeColor="hyperlink"/>
      <w:u w:val="single"/>
    </w:rPr>
  </w:style>
  <w:style w:type="paragraph" w:styleId="BalloonText">
    <w:name w:val="Balloon Text"/>
    <w:basedOn w:val="Normal"/>
    <w:link w:val="BalloonTextChar"/>
    <w:uiPriority w:val="99"/>
    <w:semiHidden/>
    <w:unhideWhenUsed/>
    <w:rsid w:val="008D2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DC3"/>
    <w:rPr>
      <w:rFonts w:ascii="Tahoma" w:hAnsi="Tahoma" w:cs="Tahoma"/>
      <w:sz w:val="16"/>
      <w:szCs w:val="16"/>
    </w:rPr>
  </w:style>
  <w:style w:type="paragraph" w:styleId="Header">
    <w:name w:val="header"/>
    <w:basedOn w:val="Normal"/>
    <w:link w:val="HeaderChar"/>
    <w:uiPriority w:val="99"/>
    <w:semiHidden/>
    <w:unhideWhenUsed/>
    <w:rsid w:val="00D967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6792"/>
  </w:style>
  <w:style w:type="paragraph" w:styleId="Footer">
    <w:name w:val="footer"/>
    <w:basedOn w:val="Normal"/>
    <w:link w:val="FooterChar"/>
    <w:uiPriority w:val="99"/>
    <w:semiHidden/>
    <w:unhideWhenUsed/>
    <w:rsid w:val="00D967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6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527018">
      <w:bodyDiv w:val="1"/>
      <w:marLeft w:val="0"/>
      <w:marRight w:val="0"/>
      <w:marTop w:val="0"/>
      <w:marBottom w:val="0"/>
      <w:divBdr>
        <w:top w:val="none" w:sz="0" w:space="0" w:color="auto"/>
        <w:left w:val="none" w:sz="0" w:space="0" w:color="auto"/>
        <w:bottom w:val="none" w:sz="0" w:space="0" w:color="auto"/>
        <w:right w:val="none" w:sz="0" w:space="0" w:color="auto"/>
      </w:divBdr>
    </w:div>
    <w:div w:id="1076242084">
      <w:bodyDiv w:val="1"/>
      <w:marLeft w:val="0"/>
      <w:marRight w:val="0"/>
      <w:marTop w:val="0"/>
      <w:marBottom w:val="0"/>
      <w:divBdr>
        <w:top w:val="none" w:sz="0" w:space="0" w:color="auto"/>
        <w:left w:val="none" w:sz="0" w:space="0" w:color="auto"/>
        <w:bottom w:val="none" w:sz="0" w:space="0" w:color="auto"/>
        <w:right w:val="none" w:sz="0" w:space="0" w:color="auto"/>
      </w:divBdr>
      <w:divsChild>
        <w:div w:id="1525898398">
          <w:marLeft w:val="720"/>
          <w:marRight w:val="0"/>
          <w:marTop w:val="0"/>
          <w:marBottom w:val="0"/>
          <w:divBdr>
            <w:top w:val="none" w:sz="0" w:space="0" w:color="auto"/>
            <w:left w:val="none" w:sz="0" w:space="0" w:color="auto"/>
            <w:bottom w:val="none" w:sz="0" w:space="0" w:color="auto"/>
            <w:right w:val="none" w:sz="0" w:space="0" w:color="auto"/>
          </w:divBdr>
        </w:div>
        <w:div w:id="772094253">
          <w:marLeft w:val="720"/>
          <w:marRight w:val="0"/>
          <w:marTop w:val="0"/>
          <w:marBottom w:val="0"/>
          <w:divBdr>
            <w:top w:val="none" w:sz="0" w:space="0" w:color="auto"/>
            <w:left w:val="none" w:sz="0" w:space="0" w:color="auto"/>
            <w:bottom w:val="none" w:sz="0" w:space="0" w:color="auto"/>
            <w:right w:val="none" w:sz="0" w:space="0" w:color="auto"/>
          </w:divBdr>
        </w:div>
        <w:div w:id="185366620">
          <w:marLeft w:val="720"/>
          <w:marRight w:val="0"/>
          <w:marTop w:val="0"/>
          <w:marBottom w:val="0"/>
          <w:divBdr>
            <w:top w:val="none" w:sz="0" w:space="0" w:color="auto"/>
            <w:left w:val="none" w:sz="0" w:space="0" w:color="auto"/>
            <w:bottom w:val="none" w:sz="0" w:space="0" w:color="auto"/>
            <w:right w:val="none" w:sz="0" w:space="0" w:color="auto"/>
          </w:divBdr>
        </w:div>
        <w:div w:id="316808274">
          <w:marLeft w:val="720"/>
          <w:marRight w:val="0"/>
          <w:marTop w:val="0"/>
          <w:marBottom w:val="0"/>
          <w:divBdr>
            <w:top w:val="none" w:sz="0" w:space="0" w:color="auto"/>
            <w:left w:val="none" w:sz="0" w:space="0" w:color="auto"/>
            <w:bottom w:val="none" w:sz="0" w:space="0" w:color="auto"/>
            <w:right w:val="none" w:sz="0" w:space="0" w:color="auto"/>
          </w:divBdr>
        </w:div>
        <w:div w:id="328213966">
          <w:marLeft w:val="720"/>
          <w:marRight w:val="0"/>
          <w:marTop w:val="0"/>
          <w:marBottom w:val="0"/>
          <w:divBdr>
            <w:top w:val="none" w:sz="0" w:space="0" w:color="auto"/>
            <w:left w:val="none" w:sz="0" w:space="0" w:color="auto"/>
            <w:bottom w:val="none" w:sz="0" w:space="0" w:color="auto"/>
            <w:right w:val="none" w:sz="0" w:space="0" w:color="auto"/>
          </w:divBdr>
        </w:div>
        <w:div w:id="180893061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d.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id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2015-04-14T21:45:00Z</dcterms:created>
  <dcterms:modified xsi:type="dcterms:W3CDTF">2015-04-14T21:45:00Z</dcterms:modified>
</cp:coreProperties>
</file>